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2C3864" w:rsidRPr="002C3864" w:rsidTr="0061767A">
        <w:trPr>
          <w:jc w:val="center"/>
        </w:trPr>
        <w:tc>
          <w:tcPr>
            <w:tcW w:w="12950" w:type="dxa"/>
          </w:tcPr>
          <w:p w:rsidR="002C3864" w:rsidRPr="002C3864" w:rsidRDefault="002C3864" w:rsidP="002C3864">
            <w:pPr>
              <w:jc w:val="center"/>
              <w:rPr>
                <w:b/>
                <w:sz w:val="19"/>
                <w:szCs w:val="19"/>
              </w:rPr>
            </w:pPr>
            <w:r w:rsidRPr="002C3864">
              <w:rPr>
                <w:b/>
                <w:sz w:val="19"/>
                <w:szCs w:val="19"/>
              </w:rPr>
              <w:t>Operational Descriptions by Strategy, Activities, and Outcomes</w:t>
            </w:r>
          </w:p>
        </w:tc>
      </w:tr>
    </w:tbl>
    <w:p w:rsidR="002C3864" w:rsidRPr="002C3864" w:rsidRDefault="002C3864" w:rsidP="002C3864">
      <w:pPr>
        <w:spacing w:after="0" w:line="240" w:lineRule="auto"/>
        <w:rPr>
          <w:rFonts w:eastAsia="Times New Roman" w:cs="Times New Roman"/>
          <w:sz w:val="19"/>
          <w:szCs w:val="19"/>
        </w:rPr>
      </w:pPr>
    </w:p>
    <w:tbl>
      <w:tblPr>
        <w:tblStyle w:val="TableGrid"/>
        <w:tblW w:w="13500" w:type="dxa"/>
        <w:jc w:val="center"/>
        <w:tblLook w:val="04A0" w:firstRow="1" w:lastRow="0" w:firstColumn="1" w:lastColumn="0" w:noHBand="0" w:noVBand="1"/>
      </w:tblPr>
      <w:tblGrid>
        <w:gridCol w:w="2621"/>
        <w:gridCol w:w="2869"/>
        <w:gridCol w:w="5383"/>
        <w:gridCol w:w="2627"/>
      </w:tblGrid>
      <w:tr w:rsidR="002C3864" w:rsidRPr="002C3864" w:rsidTr="0061767A">
        <w:trPr>
          <w:jc w:val="center"/>
        </w:trPr>
        <w:tc>
          <w:tcPr>
            <w:tcW w:w="2790" w:type="dxa"/>
            <w:vAlign w:val="center"/>
          </w:tcPr>
          <w:p w:rsidR="002C3864" w:rsidRPr="002C3864" w:rsidRDefault="002C3864" w:rsidP="002C3864">
            <w:pPr>
              <w:jc w:val="center"/>
              <w:rPr>
                <w:b/>
                <w:sz w:val="19"/>
                <w:szCs w:val="19"/>
              </w:rPr>
            </w:pPr>
            <w:r w:rsidRPr="002C3864">
              <w:rPr>
                <w:b/>
                <w:sz w:val="19"/>
                <w:szCs w:val="19"/>
              </w:rPr>
              <w:t>Strategic Goal</w:t>
            </w:r>
          </w:p>
        </w:tc>
        <w:tc>
          <w:tcPr>
            <w:tcW w:w="3060" w:type="dxa"/>
            <w:vAlign w:val="center"/>
          </w:tcPr>
          <w:p w:rsidR="002C3864" w:rsidRPr="002C3864" w:rsidRDefault="002C3864" w:rsidP="002C3864">
            <w:pPr>
              <w:jc w:val="center"/>
              <w:rPr>
                <w:b/>
                <w:sz w:val="19"/>
                <w:szCs w:val="19"/>
              </w:rPr>
            </w:pPr>
            <w:r w:rsidRPr="002C3864">
              <w:rPr>
                <w:b/>
                <w:sz w:val="19"/>
                <w:szCs w:val="19"/>
              </w:rPr>
              <w:t>On-site Consultation Strategy</w:t>
            </w:r>
          </w:p>
        </w:tc>
        <w:tc>
          <w:tcPr>
            <w:tcW w:w="4860" w:type="dxa"/>
            <w:vAlign w:val="center"/>
          </w:tcPr>
          <w:p w:rsidR="002C3864" w:rsidRPr="002C3864" w:rsidRDefault="002C3864" w:rsidP="002C3864">
            <w:pPr>
              <w:jc w:val="center"/>
              <w:rPr>
                <w:b/>
                <w:sz w:val="19"/>
                <w:szCs w:val="19"/>
              </w:rPr>
            </w:pPr>
            <w:r w:rsidRPr="002C3864">
              <w:rPr>
                <w:b/>
                <w:sz w:val="19"/>
                <w:szCs w:val="19"/>
              </w:rPr>
              <w:t>Description of Planned On-Site Consultation Activities</w:t>
            </w:r>
          </w:p>
        </w:tc>
        <w:tc>
          <w:tcPr>
            <w:tcW w:w="2790" w:type="dxa"/>
            <w:vAlign w:val="center"/>
          </w:tcPr>
          <w:p w:rsidR="002C3864" w:rsidRPr="002C3864" w:rsidRDefault="002C3864" w:rsidP="002C3864">
            <w:pPr>
              <w:jc w:val="center"/>
              <w:rPr>
                <w:b/>
                <w:sz w:val="19"/>
                <w:szCs w:val="19"/>
              </w:rPr>
            </w:pPr>
            <w:r w:rsidRPr="002C3864">
              <w:rPr>
                <w:b/>
                <w:sz w:val="19"/>
                <w:szCs w:val="19"/>
              </w:rPr>
              <w:t>Anticipated Impact of On-Site Consultation Activities</w:t>
            </w:r>
          </w:p>
        </w:tc>
      </w:tr>
      <w:tr w:rsidR="002C3864" w:rsidRPr="002C3864" w:rsidTr="0061767A">
        <w:trPr>
          <w:jc w:val="center"/>
        </w:trPr>
        <w:tc>
          <w:tcPr>
            <w:tcW w:w="13500" w:type="dxa"/>
            <w:gridSpan w:val="4"/>
          </w:tcPr>
          <w:p w:rsidR="002C3864" w:rsidRPr="002C3864" w:rsidRDefault="002C3864" w:rsidP="002C3864">
            <w:pPr>
              <w:rPr>
                <w:b/>
                <w:sz w:val="19"/>
                <w:szCs w:val="19"/>
              </w:rPr>
            </w:pPr>
            <w:r w:rsidRPr="002C3864">
              <w:rPr>
                <w:b/>
                <w:color w:val="FF0000"/>
                <w:sz w:val="19"/>
                <w:szCs w:val="19"/>
              </w:rPr>
              <w:t>Workplace Safety and Health</w:t>
            </w:r>
          </w:p>
        </w:tc>
      </w:tr>
      <w:tr w:rsidR="002C3864" w:rsidRPr="002C3864" w:rsidTr="0061767A">
        <w:trPr>
          <w:jc w:val="center"/>
        </w:trPr>
        <w:tc>
          <w:tcPr>
            <w:tcW w:w="279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1) Improve Workplace safety and health through compliance assistance and enforcement of occupational safety and health regulations.</w:t>
            </w:r>
          </w:p>
        </w:tc>
        <w:tc>
          <w:tcPr>
            <w:tcW w:w="306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 xml:space="preserve">Focus marketing efforts and visits toward targeted high-hazard industries utilizing MOSH’s current SST, NEP’s and LEP’s to work in conjunction with Enforcement and Compliance Assistance activities.  </w:t>
            </w:r>
          </w:p>
        </w:tc>
        <w:tc>
          <w:tcPr>
            <w:tcW w:w="486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Conduct the following number of visits: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 xml:space="preserve">a. Construction (NAICS </w:t>
            </w:r>
            <w:proofErr w:type="gramStart"/>
            <w:r w:rsidRPr="002C3864">
              <w:rPr>
                <w:sz w:val="19"/>
                <w:szCs w:val="19"/>
              </w:rPr>
              <w:t>23)…</w:t>
            </w:r>
            <w:proofErr w:type="gramEnd"/>
            <w:r w:rsidRPr="002C3864">
              <w:rPr>
                <w:sz w:val="19"/>
                <w:szCs w:val="19"/>
              </w:rPr>
              <w:t>………………………………….158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b. Other high-hazard industries……………………………….24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(NAICS 11, 5617, 562, 622-624, 71, 721)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c. Public Sector……………………………………………………</w:t>
            </w:r>
            <w:proofErr w:type="gramStart"/>
            <w:r w:rsidRPr="002C3864">
              <w:rPr>
                <w:sz w:val="19"/>
                <w:szCs w:val="19"/>
              </w:rPr>
              <w:t>…..</w:t>
            </w:r>
            <w:proofErr w:type="gramEnd"/>
            <w:r w:rsidRPr="002C3864">
              <w:rPr>
                <w:sz w:val="19"/>
                <w:szCs w:val="19"/>
              </w:rPr>
              <w:t>61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d. Manufacturing…………………………………………………….91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e. Trade, Transportation, Utilities……………………………36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(NAICS 2213, 424, 44-45, 48-49)</w:t>
            </w:r>
          </w:p>
        </w:tc>
        <w:tc>
          <w:tcPr>
            <w:tcW w:w="279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1.1 – Total reduction in the Fatality Rate by 1% (5% by end of FFY 2022).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1.2 – Reduce the rate of occupational injuries and illnesses in Maryland’s private sector by 1% (5% by end of FFY 2022).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1.3 – Reduce the rate of occupational injuries and illnesses in Maryland’s State and local government sector by 2% (10% by the end of 2022).</w:t>
            </w:r>
          </w:p>
        </w:tc>
      </w:tr>
      <w:tr w:rsidR="002C3864" w:rsidRPr="002C3864" w:rsidTr="0061767A">
        <w:trPr>
          <w:jc w:val="center"/>
        </w:trPr>
        <w:tc>
          <w:tcPr>
            <w:tcW w:w="13500" w:type="dxa"/>
            <w:gridSpan w:val="4"/>
          </w:tcPr>
          <w:p w:rsidR="002C3864" w:rsidRPr="002C3864" w:rsidRDefault="002C3864" w:rsidP="002C3864">
            <w:pPr>
              <w:rPr>
                <w:b/>
                <w:sz w:val="19"/>
                <w:szCs w:val="19"/>
              </w:rPr>
            </w:pPr>
            <w:r w:rsidRPr="002C3864">
              <w:rPr>
                <w:b/>
                <w:color w:val="FF0000"/>
                <w:sz w:val="19"/>
                <w:szCs w:val="19"/>
              </w:rPr>
              <w:t>Workplace Safety Culture</w:t>
            </w:r>
          </w:p>
        </w:tc>
      </w:tr>
      <w:tr w:rsidR="002C3864" w:rsidRPr="002C3864" w:rsidTr="0061767A">
        <w:trPr>
          <w:jc w:val="center"/>
        </w:trPr>
        <w:tc>
          <w:tcPr>
            <w:tcW w:w="279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2) Promote a safety and health culture through Cooperative Partnerships, Compliance Assistance, On-Site Consultation Programs, Outreach, and Training and Education.</w:t>
            </w:r>
          </w:p>
        </w:tc>
        <w:tc>
          <w:tcPr>
            <w:tcW w:w="306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1) Increase Recognition programs in targeted high hazard industries utilizing MOSH’s current SST, NEP’s and LEP’s.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2) Work in conjunction with the Cooperative partnerships to share resources and further educate the companies and organizations working with MOSH.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3) Continue to disseminate information and participate in our training and outreach activities.</w:t>
            </w:r>
          </w:p>
        </w:tc>
        <w:tc>
          <w:tcPr>
            <w:tcW w:w="486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1) Increase SHARP sites by three new sites in FY 2022.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2) Increase partnerships by 6 in 2022.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 xml:space="preserve">3) Maintain the total number of trainees/participants anticipated to be </w:t>
            </w:r>
            <w:proofErr w:type="gramStart"/>
            <w:r w:rsidRPr="002C3864">
              <w:rPr>
                <w:sz w:val="19"/>
                <w:szCs w:val="19"/>
              </w:rPr>
              <w:t>effected</w:t>
            </w:r>
            <w:proofErr w:type="gramEnd"/>
            <w:r w:rsidRPr="002C3864">
              <w:rPr>
                <w:sz w:val="19"/>
                <w:szCs w:val="19"/>
              </w:rPr>
              <w:t xml:space="preserve"> by outreach activities in the areas covered by MOSH LEP’s, current SST, and Federal NEP’s including formal training, workshops, seminars, speeches, conferences, and informal worksite training at 6,000.</w:t>
            </w:r>
          </w:p>
        </w:tc>
        <w:tc>
          <w:tcPr>
            <w:tcW w:w="279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 xml:space="preserve">2.1 – Increase SHARP sites from 5 to 8 sites in FY 2021. 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2.2 – Increase Cooperative Partnerships from 104 to 110.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2.3 – Maintain attendance in MOSH outreach and training programs at 6,000 participants.</w:t>
            </w:r>
          </w:p>
        </w:tc>
      </w:tr>
      <w:tr w:rsidR="002C3864" w:rsidRPr="002C3864" w:rsidTr="0061767A">
        <w:trPr>
          <w:jc w:val="center"/>
        </w:trPr>
        <w:tc>
          <w:tcPr>
            <w:tcW w:w="13500" w:type="dxa"/>
            <w:gridSpan w:val="4"/>
          </w:tcPr>
          <w:p w:rsidR="002C3864" w:rsidRPr="002C3864" w:rsidRDefault="002C3864" w:rsidP="002C3864">
            <w:pPr>
              <w:rPr>
                <w:b/>
                <w:sz w:val="19"/>
                <w:szCs w:val="19"/>
              </w:rPr>
            </w:pPr>
            <w:r w:rsidRPr="002C3864">
              <w:rPr>
                <w:b/>
                <w:color w:val="FF0000"/>
                <w:sz w:val="19"/>
                <w:szCs w:val="19"/>
              </w:rPr>
              <w:t>Customer Service Satisfaction</w:t>
            </w:r>
          </w:p>
        </w:tc>
      </w:tr>
      <w:tr w:rsidR="002C3864" w:rsidRPr="002C3864" w:rsidTr="0061767A">
        <w:trPr>
          <w:jc w:val="center"/>
        </w:trPr>
        <w:tc>
          <w:tcPr>
            <w:tcW w:w="279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3) Secure public confidence through excellence in the development and delivery of MOSH programs and services, and by providing excellent customer service</w:t>
            </w:r>
          </w:p>
        </w:tc>
        <w:tc>
          <w:tcPr>
            <w:tcW w:w="306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1) Consultation will share in the technical development of the website and continue to maintain their Federal OSHA requirements, current information, and forms.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2) A LABOR External Customer Survey form will be sent with each initial visit report.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3) Initiate visits to small high hazard employers in a timely manner; ensure written reports are completed in a timely manner.</w:t>
            </w:r>
          </w:p>
        </w:tc>
        <w:tc>
          <w:tcPr>
            <w:tcW w:w="486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1) A printed copy of original website and Facebook page at beginning of 5 Year Strategic Plan is kept on file and available upon request.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 xml:space="preserve">2) Over 90% of the </w:t>
            </w:r>
            <w:proofErr w:type="gramStart"/>
            <w:r w:rsidRPr="002C3864">
              <w:rPr>
                <w:sz w:val="19"/>
                <w:szCs w:val="19"/>
              </w:rPr>
              <w:t>respondents</w:t>
            </w:r>
            <w:proofErr w:type="gramEnd"/>
            <w:r w:rsidRPr="002C3864">
              <w:rPr>
                <w:sz w:val="19"/>
                <w:szCs w:val="19"/>
              </w:rPr>
              <w:t xml:space="preserve"> rate “overall satisfaction” as satisfactory or better.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3) 30 days between request and visit; 20 days between closing conference and written report.</w:t>
            </w:r>
          </w:p>
        </w:tc>
        <w:tc>
          <w:tcPr>
            <w:tcW w:w="2790" w:type="dxa"/>
          </w:tcPr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3.1 – Achieve overall satisfaction rating of at least 90% of surveyed responses from the MOSH website and Facebook users.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3.2 – 90% of responding employers are satisfied in the consultation visit received.</w:t>
            </w:r>
          </w:p>
          <w:p w:rsidR="002C3864" w:rsidRPr="002C3864" w:rsidRDefault="002C3864" w:rsidP="002C3864">
            <w:pPr>
              <w:rPr>
                <w:sz w:val="19"/>
                <w:szCs w:val="19"/>
              </w:rPr>
            </w:pPr>
            <w:r w:rsidRPr="002C3864">
              <w:rPr>
                <w:sz w:val="19"/>
                <w:szCs w:val="19"/>
              </w:rPr>
              <w:t>3.3 Provide prompt consultation service.</w:t>
            </w:r>
          </w:p>
        </w:tc>
      </w:tr>
    </w:tbl>
    <w:p w:rsidR="002C3864" w:rsidRPr="002C3864" w:rsidRDefault="002C3864" w:rsidP="002C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  <w:sectPr w:rsidR="002C3864" w:rsidRPr="002C3864" w:rsidSect="004678C8">
          <w:footerReference w:type="default" r:id="rId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C3864" w:rsidRPr="002C3864" w:rsidRDefault="002C3864" w:rsidP="002C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8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FY 2022 PROJECTED PROGRAM ACTIVITIES</w:t>
      </w:r>
    </w:p>
    <w:p w:rsidR="002C3864" w:rsidRPr="002C3864" w:rsidRDefault="002C3864" w:rsidP="002C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2C3864" w:rsidRPr="002C3864" w:rsidRDefault="002C3864" w:rsidP="002C386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pPr w:leftFromText="180" w:rightFromText="180" w:vertAnchor="text" w:tblpXSpec="center" w:tblpY="124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03"/>
        <w:gridCol w:w="852"/>
        <w:gridCol w:w="685"/>
        <w:gridCol w:w="720"/>
      </w:tblGrid>
      <w:tr w:rsidR="002C3864" w:rsidRPr="002C3864" w:rsidTr="0061767A">
        <w:trPr>
          <w:cantSplit/>
          <w:trHeight w:val="60"/>
          <w:tblHeader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ACTIVITY AND AREAS OF EMPHASIS</w:t>
            </w:r>
          </w:p>
        </w:tc>
        <w:tc>
          <w:tcPr>
            <w:tcW w:w="803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Safety</w:t>
            </w:r>
          </w:p>
        </w:tc>
        <w:tc>
          <w:tcPr>
            <w:tcW w:w="852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Health</w:t>
            </w:r>
          </w:p>
        </w:tc>
        <w:tc>
          <w:tcPr>
            <w:tcW w:w="685" w:type="dxa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Both</w:t>
            </w:r>
          </w:p>
        </w:tc>
        <w:tc>
          <w:tcPr>
            <w:tcW w:w="720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Total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1. Total Visits (Initial, Training/Education, and Follow-up)</w:t>
            </w:r>
          </w:p>
        </w:tc>
        <w:tc>
          <w:tcPr>
            <w:tcW w:w="803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852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5" w:type="dxa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szCs w:val="20"/>
              </w:rPr>
              <w:t>309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a. Agriculture</w:t>
            </w:r>
          </w:p>
        </w:tc>
        <w:tc>
          <w:tcPr>
            <w:tcW w:w="803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85" w:type="dxa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b. Construction</w:t>
            </w:r>
          </w:p>
        </w:tc>
        <w:tc>
          <w:tcPr>
            <w:tcW w:w="803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52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szCs w:val="20"/>
              </w:rPr>
              <w:t>158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c. General Industry</w:t>
            </w:r>
          </w:p>
        </w:tc>
        <w:tc>
          <w:tcPr>
            <w:tcW w:w="803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99</w:t>
            </w:r>
          </w:p>
        </w:tc>
        <w:tc>
          <w:tcPr>
            <w:tcW w:w="852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52</w:t>
            </w:r>
          </w:p>
        </w:tc>
        <w:tc>
          <w:tcPr>
            <w:tcW w:w="685" w:type="dxa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151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d. Maritime</w:t>
            </w:r>
          </w:p>
        </w:tc>
        <w:tc>
          <w:tcPr>
            <w:tcW w:w="803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685" w:type="dxa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0</w:t>
            </w:r>
          </w:p>
        </w:tc>
      </w:tr>
      <w:tr w:rsidR="002C3864" w:rsidRPr="002C3864" w:rsidTr="0061767A">
        <w:trPr>
          <w:cantSplit/>
          <w:trHeight w:val="60"/>
          <w:tblHeader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2. Visits Related to Emphasis Industries</w:t>
            </w:r>
          </w:p>
        </w:tc>
        <w:tc>
          <w:tcPr>
            <w:tcW w:w="3060" w:type="dxa"/>
            <w:gridSpan w:val="4"/>
            <w:shd w:val="clear" w:color="auto" w:fill="auto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Total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 w:rsidRPr="002C3864">
              <w:rPr>
                <w:rFonts w:ascii="Arial" w:eastAsia="Times New Roman" w:hAnsi="Arial" w:cs="Times New Roman"/>
                <w:sz w:val="20"/>
                <w:szCs w:val="20"/>
              </w:rPr>
              <w:t>. Construction (NAICS 23)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b. Manufacturing (NAICS 31-33)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c. Trade, Transportation, Utilities, (NAICS 2213, 424, 44-45, 48-49)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d. Other High Hazard Industries (NAICS 11, 5617, 562, 622-624, 71, 721)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Total Visits Related to Emphasis Industries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C3864">
              <w:rPr>
                <w:rFonts w:ascii="Times New Roman" w:eastAsia="Times New Roman" w:hAnsi="Times New Roman" w:cs="Times New Roman"/>
                <w:bCs/>
                <w:szCs w:val="20"/>
              </w:rPr>
              <w:t>309</w:t>
            </w:r>
          </w:p>
        </w:tc>
      </w:tr>
      <w:tr w:rsidR="002C3864" w:rsidRPr="002C3864" w:rsidTr="0061767A">
        <w:trPr>
          <w:cantSplit/>
          <w:trHeight w:val="60"/>
          <w:tblHeader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3. Visits Related to Emphasis Safety and Health Hazards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Total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   a. Silica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   b. Hexavalent Chromium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   c. Combustible Dust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 xml:space="preserve">    d. Other LEPs</w:t>
            </w:r>
          </w:p>
        </w:tc>
        <w:tc>
          <w:tcPr>
            <w:tcW w:w="3060" w:type="dxa"/>
            <w:gridSpan w:val="4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2C3864" w:rsidRPr="002C3864" w:rsidTr="0061767A">
        <w:trPr>
          <w:trHeight w:val="60"/>
        </w:trPr>
        <w:tc>
          <w:tcPr>
            <w:tcW w:w="8838" w:type="dxa"/>
            <w:gridSpan w:val="5"/>
          </w:tcPr>
          <w:p w:rsidR="002C3864" w:rsidRPr="002C3864" w:rsidRDefault="002C3864" w:rsidP="002C3864">
            <w:pPr>
              <w:spacing w:after="0" w:line="240" w:lineRule="auto"/>
              <w:ind w:left="1080"/>
              <w:rPr>
                <w:rFonts w:ascii="Times New Roman" w:eastAsia="Times New Roman" w:hAnsi="Times New Roman" w:cs="Arial"/>
                <w:b/>
                <w:bCs/>
                <w:kern w:val="32"/>
                <w:sz w:val="21"/>
                <w:szCs w:val="20"/>
              </w:rPr>
            </w:pPr>
            <w:r w:rsidRPr="002C3864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Cs w:val="18"/>
              </w:rPr>
              <w:t>SHARP and Pre-SHARP / Compliance Assistance Activities Projections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4. Total current SHARP sites (at time of application)</w:t>
            </w:r>
          </w:p>
        </w:tc>
        <w:tc>
          <w:tcPr>
            <w:tcW w:w="3060" w:type="dxa"/>
            <w:gridSpan w:val="4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4a. Projected new SHARP sites in FY 2022</w:t>
            </w:r>
          </w:p>
        </w:tc>
        <w:tc>
          <w:tcPr>
            <w:tcW w:w="3060" w:type="dxa"/>
            <w:gridSpan w:val="4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4b. Projected SHARP renewals in FY 2022</w:t>
            </w:r>
          </w:p>
        </w:tc>
        <w:tc>
          <w:tcPr>
            <w:tcW w:w="3060" w:type="dxa"/>
            <w:gridSpan w:val="4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5. Projected total SHARP sites at end of FY 2022</w:t>
            </w:r>
          </w:p>
        </w:tc>
        <w:tc>
          <w:tcPr>
            <w:tcW w:w="3060" w:type="dxa"/>
            <w:gridSpan w:val="4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6. Total projected pre-SHARP sites in FY 2022</w:t>
            </w:r>
          </w:p>
        </w:tc>
        <w:tc>
          <w:tcPr>
            <w:tcW w:w="3060" w:type="dxa"/>
            <w:gridSpan w:val="4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864" w:rsidRPr="002C3864" w:rsidTr="0061767A">
        <w:trPr>
          <w:trHeight w:val="60"/>
        </w:trPr>
        <w:tc>
          <w:tcPr>
            <w:tcW w:w="5778" w:type="dxa"/>
            <w:noWrap/>
            <w:vAlign w:val="center"/>
          </w:tcPr>
          <w:p w:rsidR="002C3864" w:rsidRPr="002C3864" w:rsidRDefault="002C3864" w:rsidP="002C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2C3864">
              <w:rPr>
                <w:rFonts w:ascii="Times New Roman" w:eastAsia="Times New Roman" w:hAnsi="Times New Roman" w:cs="Times New Roman"/>
                <w:color w:val="000000"/>
                <w:szCs w:val="18"/>
              </w:rPr>
              <w:t>7. Total projected compliance assistance activities</w:t>
            </w:r>
          </w:p>
        </w:tc>
        <w:tc>
          <w:tcPr>
            <w:tcW w:w="3060" w:type="dxa"/>
            <w:gridSpan w:val="4"/>
            <w:vAlign w:val="center"/>
          </w:tcPr>
          <w:p w:rsidR="002C3864" w:rsidRPr="002C3864" w:rsidRDefault="002C3864" w:rsidP="002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38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</w:tr>
    </w:tbl>
    <w:p w:rsidR="00FD6231" w:rsidRDefault="002C3864">
      <w:bookmarkStart w:id="0" w:name="_GoBack"/>
      <w:bookmarkEnd w:id="0"/>
    </w:p>
    <w:sectPr w:rsidR="00FD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09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F7D" w:rsidRDefault="002C3864" w:rsidP="00BA0A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Maryland Occupational Safety and Health Consultation</w:t>
        </w:r>
      </w:p>
    </w:sdtContent>
  </w:sdt>
  <w:p w:rsidR="002F3F7D" w:rsidRDefault="002C386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64"/>
    <w:rsid w:val="002C3864"/>
    <w:rsid w:val="004452A1"/>
    <w:rsid w:val="006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F0EB8-9184-470A-BEF0-C4F174C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864"/>
  </w:style>
  <w:style w:type="table" w:styleId="TableGrid">
    <w:name w:val="Table Grid"/>
    <w:basedOn w:val="TableNormal"/>
    <w:rsid w:val="002C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Herold</dc:creator>
  <cp:keywords/>
  <dc:description/>
  <cp:lastModifiedBy>Kevin Herold</cp:lastModifiedBy>
  <cp:revision>1</cp:revision>
  <dcterms:created xsi:type="dcterms:W3CDTF">2022-07-11T17:33:00Z</dcterms:created>
  <dcterms:modified xsi:type="dcterms:W3CDTF">2022-07-11T17:33:00Z</dcterms:modified>
</cp:coreProperties>
</file>